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0732F" w:rsidRPr="00E5767D" w:rsidRDefault="00BF50B2" w:rsidP="00E5767D">
      <w:pPr>
        <w:pStyle w:val="1"/>
        <w:ind w:firstLine="0"/>
        <w:jc w:val="center"/>
        <w:rPr>
          <w:sz w:val="28"/>
          <w:szCs w:val="28"/>
          <w:lang w:val="en-US"/>
        </w:rPr>
      </w:pPr>
      <w:r w:rsidRPr="00E5767D">
        <w:rPr>
          <w:b/>
          <w:bCs/>
          <w:sz w:val="28"/>
          <w:szCs w:val="28"/>
          <w:lang w:val="en-US"/>
        </w:rPr>
        <w:t>AZƏRBAYCAN RESPUBLİKASI</w:t>
      </w:r>
      <w:r w:rsidR="00E5767D" w:rsidRPr="00E5767D">
        <w:rPr>
          <w:b/>
          <w:bCs/>
          <w:sz w:val="28"/>
          <w:szCs w:val="28"/>
          <w:lang w:val="en-US"/>
        </w:rPr>
        <w:t>NIN</w:t>
      </w:r>
    </w:p>
    <w:p w:rsidR="0000732F" w:rsidRPr="00E5767D" w:rsidRDefault="00BF50B2" w:rsidP="00E5767D">
      <w:pPr>
        <w:pStyle w:val="1"/>
        <w:ind w:firstLine="0"/>
        <w:jc w:val="center"/>
        <w:rPr>
          <w:sz w:val="28"/>
          <w:szCs w:val="28"/>
          <w:lang w:val="en-US"/>
        </w:rPr>
      </w:pPr>
      <w:r w:rsidRPr="00E5767D">
        <w:rPr>
          <w:b/>
          <w:bCs/>
          <w:sz w:val="28"/>
          <w:szCs w:val="28"/>
          <w:lang w:val="en-US"/>
        </w:rPr>
        <w:t xml:space="preserve">DAXİLİ İŞLƏR NAZİRLİYİ </w:t>
      </w:r>
      <w:r w:rsidRPr="00E5767D">
        <w:rPr>
          <w:b/>
          <w:bCs/>
          <w:sz w:val="28"/>
          <w:szCs w:val="28"/>
          <w:lang w:val="en-US" w:eastAsia="en-US" w:bidi="en-US"/>
        </w:rPr>
        <w:t xml:space="preserve">YANINDA </w:t>
      </w:r>
      <w:r w:rsidRPr="00E5767D">
        <w:rPr>
          <w:b/>
          <w:bCs/>
          <w:sz w:val="28"/>
          <w:szCs w:val="28"/>
          <w:lang w:val="en-US"/>
        </w:rPr>
        <w:t>İCTİMAİ ŞURANIN</w:t>
      </w:r>
    </w:p>
    <w:p w:rsidR="0000732F" w:rsidRPr="00E5767D" w:rsidRDefault="00BF50B2" w:rsidP="00E5767D">
      <w:pPr>
        <w:pStyle w:val="1"/>
        <w:ind w:firstLine="0"/>
        <w:jc w:val="center"/>
        <w:rPr>
          <w:sz w:val="28"/>
          <w:szCs w:val="28"/>
          <w:lang w:val="en-US"/>
        </w:rPr>
      </w:pPr>
      <w:r w:rsidRPr="00E5767D">
        <w:rPr>
          <w:b/>
          <w:bCs/>
          <w:sz w:val="28"/>
          <w:szCs w:val="28"/>
          <w:lang w:val="en-US"/>
        </w:rPr>
        <w:t>2024-2025-Cİ İLLƏR ÜZRƏ FƏALİYYƏTİ HAQQINDA</w:t>
      </w:r>
    </w:p>
    <w:p w:rsidR="0000732F" w:rsidRPr="00E5767D" w:rsidRDefault="00BF50B2" w:rsidP="00E5767D">
      <w:pPr>
        <w:pStyle w:val="1"/>
        <w:ind w:firstLine="0"/>
        <w:jc w:val="center"/>
        <w:rPr>
          <w:sz w:val="28"/>
          <w:szCs w:val="28"/>
          <w:lang w:val="en-US"/>
        </w:rPr>
      </w:pPr>
      <w:r w:rsidRPr="00E5767D">
        <w:rPr>
          <w:b/>
          <w:bCs/>
          <w:sz w:val="28"/>
          <w:szCs w:val="28"/>
          <w:lang w:val="en-US"/>
        </w:rPr>
        <w:t>HESABAT</w:t>
      </w:r>
    </w:p>
    <w:p w:rsidR="0000732F" w:rsidRPr="00E5767D" w:rsidRDefault="00BF50B2" w:rsidP="00E5767D">
      <w:pPr>
        <w:pStyle w:val="1"/>
        <w:numPr>
          <w:ilvl w:val="0"/>
          <w:numId w:val="1"/>
        </w:numPr>
        <w:tabs>
          <w:tab w:val="left" w:pos="675"/>
        </w:tabs>
        <w:jc w:val="both"/>
        <w:rPr>
          <w:sz w:val="28"/>
          <w:szCs w:val="28"/>
        </w:rPr>
      </w:pPr>
      <w:r w:rsidRPr="00E5767D">
        <w:rPr>
          <w:sz w:val="28"/>
          <w:szCs w:val="28"/>
        </w:rPr>
        <w:t>GİRİŞ</w:t>
      </w:r>
    </w:p>
    <w:p w:rsidR="0000732F" w:rsidRPr="00E5767D" w:rsidRDefault="00BF50B2" w:rsidP="00EC2A11">
      <w:pPr>
        <w:pStyle w:val="1"/>
        <w:spacing w:line="360" w:lineRule="auto"/>
        <w:ind w:firstLine="357"/>
        <w:jc w:val="both"/>
        <w:rPr>
          <w:sz w:val="28"/>
          <w:szCs w:val="28"/>
        </w:rPr>
      </w:pPr>
      <w:proofErr w:type="spellStart"/>
      <w:proofErr w:type="gramStart"/>
      <w:r w:rsidRPr="00E5767D">
        <w:rPr>
          <w:sz w:val="28"/>
          <w:szCs w:val="28"/>
        </w:rPr>
        <w:t>Daxili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Nazirliyi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yanında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dövlət-cəmiyyət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münasibətlərində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iştirakçılığın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təmin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edilməsi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nəzarət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mexanizmlərinin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inkişafı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şəffaflığın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hesabatlılığın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artırılması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habelə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vətəndaş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məmnunluğunun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yüksəldilməsi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məqsədilə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</w:t>
      </w:r>
      <w:proofErr w:type="spellEnd"/>
      <w:proofErr w:type="gram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göstərən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institusional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platformadır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EC2A11">
      <w:pPr>
        <w:pStyle w:val="1"/>
        <w:spacing w:line="360" w:lineRule="auto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Bu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Hesabat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2024-2025-ci </w:t>
      </w:r>
      <w:proofErr w:type="spellStart"/>
      <w:r w:rsidRPr="00E5767D">
        <w:rPr>
          <w:sz w:val="28"/>
          <w:szCs w:val="28"/>
        </w:rPr>
        <w:t>illər</w:t>
      </w:r>
      <w:r w:rsidRPr="00E5767D">
        <w:rPr>
          <w:sz w:val="28"/>
          <w:szCs w:val="28"/>
        </w:rPr>
        <w:t>dəki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fəaliyyətinin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istiqamətlərini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əldə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nəticələri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formalaşmış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təcrübəni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mövcud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məhdudiyyətləri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qarşıdakı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dövr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üçün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strateji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baxışı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əks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etdirir</w:t>
      </w:r>
      <w:proofErr w:type="spellEnd"/>
      <w:r w:rsidRPr="00E5767D">
        <w:rPr>
          <w:sz w:val="28"/>
          <w:szCs w:val="28"/>
        </w:rPr>
        <w:t xml:space="preserve">. </w:t>
      </w:r>
      <w:proofErr w:type="spellStart"/>
      <w:r w:rsidRPr="00E5767D">
        <w:rPr>
          <w:sz w:val="28"/>
          <w:szCs w:val="28"/>
        </w:rPr>
        <w:t>Hesabat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hazırlanarkən</w:t>
      </w:r>
      <w:proofErr w:type="spellEnd"/>
      <w:r w:rsidRPr="00E5767D">
        <w:rPr>
          <w:sz w:val="28"/>
          <w:szCs w:val="28"/>
        </w:rPr>
        <w:t xml:space="preserve"> 2020-2023-cü </w:t>
      </w:r>
      <w:proofErr w:type="spellStart"/>
      <w:r w:rsidRPr="00E5767D">
        <w:rPr>
          <w:sz w:val="28"/>
          <w:szCs w:val="28"/>
        </w:rPr>
        <w:t>illərdə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formalaşmış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institusional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davamlılıq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kontekstu</w:t>
      </w:r>
      <w:r w:rsidRPr="00E5767D">
        <w:rPr>
          <w:sz w:val="28"/>
          <w:szCs w:val="28"/>
        </w:rPr>
        <w:t>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kimi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nəzərə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alınmışdır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E5767D">
      <w:pPr>
        <w:pStyle w:val="1"/>
        <w:numPr>
          <w:ilvl w:val="0"/>
          <w:numId w:val="1"/>
        </w:numPr>
        <w:tabs>
          <w:tab w:val="left" w:pos="757"/>
        </w:tabs>
        <w:rPr>
          <w:sz w:val="28"/>
          <w:szCs w:val="28"/>
        </w:rPr>
      </w:pPr>
      <w:r w:rsidRPr="00E5767D">
        <w:rPr>
          <w:sz w:val="28"/>
          <w:szCs w:val="28"/>
        </w:rPr>
        <w:t>HÜQUQİ VƏ İNSTITUSIONAL ƏSASLAR</w:t>
      </w:r>
    </w:p>
    <w:p w:rsidR="0000732F" w:rsidRPr="00E5767D" w:rsidRDefault="00BF50B2" w:rsidP="00E5767D">
      <w:pPr>
        <w:pStyle w:val="1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aşağıdakı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normativ-hüquqi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sənədlərə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əsaslanır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E5767D">
      <w:pPr>
        <w:pStyle w:val="1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Azərbaycan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Respublikasının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Konstitusiyası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E5767D">
      <w:pPr>
        <w:pStyle w:val="1"/>
        <w:rPr>
          <w:sz w:val="28"/>
          <w:szCs w:val="28"/>
        </w:rPr>
      </w:pPr>
      <w:r w:rsidRPr="00E5767D">
        <w:rPr>
          <w:sz w:val="28"/>
          <w:szCs w:val="28"/>
        </w:rPr>
        <w:t>“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iştirakçılıq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haqqında</w:t>
      </w:r>
      <w:proofErr w:type="spellEnd"/>
      <w:r w:rsidRPr="00E5767D">
        <w:rPr>
          <w:sz w:val="28"/>
          <w:szCs w:val="28"/>
        </w:rPr>
        <w:t xml:space="preserve">” </w:t>
      </w:r>
      <w:proofErr w:type="spellStart"/>
      <w:r w:rsidRPr="00E5767D">
        <w:rPr>
          <w:sz w:val="28"/>
          <w:szCs w:val="28"/>
        </w:rPr>
        <w:t>Azərbaycan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Respublikasının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Qanunu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E5767D">
      <w:pPr>
        <w:pStyle w:val="1"/>
        <w:rPr>
          <w:sz w:val="28"/>
          <w:szCs w:val="28"/>
          <w:lang w:val="en-US"/>
        </w:rPr>
      </w:pPr>
      <w:proofErr w:type="spellStart"/>
      <w:r w:rsidRPr="00E5767D">
        <w:rPr>
          <w:sz w:val="28"/>
          <w:szCs w:val="28"/>
          <w:lang w:val="en-US"/>
        </w:rPr>
        <w:t>Nazirlər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Kabinetinin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şuralarla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bağlı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normativ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aktları</w:t>
      </w:r>
      <w:proofErr w:type="spellEnd"/>
      <w:r w:rsidRPr="00E5767D">
        <w:rPr>
          <w:sz w:val="28"/>
          <w:szCs w:val="28"/>
          <w:lang w:val="en-US"/>
        </w:rPr>
        <w:t>;</w:t>
      </w:r>
    </w:p>
    <w:p w:rsidR="0000732F" w:rsidRPr="00E5767D" w:rsidRDefault="00BF50B2" w:rsidP="00EC2A11">
      <w:pPr>
        <w:pStyle w:val="1"/>
        <w:spacing w:line="360" w:lineRule="auto"/>
        <w:ind w:firstLine="357"/>
        <w:jc w:val="both"/>
        <w:rPr>
          <w:sz w:val="28"/>
          <w:szCs w:val="28"/>
          <w:lang w:val="en-US"/>
        </w:rPr>
      </w:pPr>
      <w:proofErr w:type="gramStart"/>
      <w:r w:rsidRPr="00E5767D">
        <w:rPr>
          <w:sz w:val="28"/>
          <w:szCs w:val="28"/>
          <w:lang w:val="en-US"/>
        </w:rPr>
        <w:t>“</w:t>
      </w:r>
      <w:proofErr w:type="spellStart"/>
      <w:r w:rsidRPr="00E5767D">
        <w:rPr>
          <w:sz w:val="28"/>
          <w:szCs w:val="28"/>
          <w:lang w:val="en-US"/>
        </w:rPr>
        <w:t>Korrupsiyaya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qarşı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mübarizənin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gücləndirilməsinə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dair</w:t>
      </w:r>
      <w:proofErr w:type="spellEnd"/>
      <w:r w:rsidRPr="00E5767D">
        <w:rPr>
          <w:sz w:val="28"/>
          <w:szCs w:val="28"/>
          <w:lang w:val="en-US"/>
        </w:rPr>
        <w:t xml:space="preserve"> 2022-2026-cı </w:t>
      </w:r>
      <w:proofErr w:type="spellStart"/>
      <w:r w:rsidRPr="00E5767D">
        <w:rPr>
          <w:sz w:val="28"/>
          <w:szCs w:val="28"/>
          <w:lang w:val="en-US"/>
        </w:rPr>
        <w:t>illər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üçün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Milli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Planı</w:t>
      </w:r>
      <w:proofErr w:type="spellEnd"/>
      <w:r w:rsidRPr="00E5767D">
        <w:rPr>
          <w:sz w:val="28"/>
          <w:szCs w:val="28"/>
          <w:lang w:val="en-US"/>
        </w:rPr>
        <w:t>”.</w:t>
      </w:r>
      <w:proofErr w:type="gramEnd"/>
    </w:p>
    <w:p w:rsidR="0000732F" w:rsidRPr="00E5767D" w:rsidRDefault="00BF50B2" w:rsidP="00EC2A11">
      <w:pPr>
        <w:pStyle w:val="1"/>
        <w:spacing w:line="360" w:lineRule="auto"/>
        <w:ind w:firstLine="357"/>
        <w:jc w:val="both"/>
        <w:rPr>
          <w:sz w:val="28"/>
          <w:szCs w:val="28"/>
          <w:lang w:val="en-US"/>
        </w:rPr>
      </w:pPr>
      <w:proofErr w:type="gramStart"/>
      <w:r w:rsidRPr="00E5767D">
        <w:rPr>
          <w:sz w:val="28"/>
          <w:szCs w:val="28"/>
          <w:lang w:val="en-US"/>
        </w:rPr>
        <w:t xml:space="preserve">2024-2025-ci </w:t>
      </w:r>
      <w:proofErr w:type="spellStart"/>
      <w:r w:rsidRPr="00E5767D">
        <w:rPr>
          <w:sz w:val="28"/>
          <w:szCs w:val="28"/>
          <w:lang w:val="en-US"/>
        </w:rPr>
        <w:t>illərdə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öz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fəaliyyətini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bu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sənədlərin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tələblərinə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uyğun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şəkildə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qurmuşdur</w:t>
      </w:r>
      <w:proofErr w:type="spellEnd"/>
      <w:r w:rsidRPr="00E5767D">
        <w:rPr>
          <w:sz w:val="28"/>
          <w:szCs w:val="28"/>
          <w:lang w:val="en-US"/>
        </w:rPr>
        <w:t>.</w:t>
      </w:r>
      <w:proofErr w:type="gramEnd"/>
    </w:p>
    <w:p w:rsidR="0000732F" w:rsidRPr="00E5767D" w:rsidRDefault="00BF50B2" w:rsidP="00E5767D">
      <w:pPr>
        <w:pStyle w:val="1"/>
        <w:numPr>
          <w:ilvl w:val="0"/>
          <w:numId w:val="1"/>
        </w:numPr>
        <w:tabs>
          <w:tab w:val="left" w:pos="838"/>
        </w:tabs>
        <w:jc w:val="both"/>
        <w:rPr>
          <w:sz w:val="28"/>
          <w:szCs w:val="28"/>
        </w:rPr>
      </w:pPr>
      <w:r w:rsidRPr="00E5767D">
        <w:rPr>
          <w:sz w:val="28"/>
          <w:szCs w:val="28"/>
        </w:rPr>
        <w:t>TƏŞKİ</w:t>
      </w:r>
      <w:r w:rsidRPr="00E5767D">
        <w:rPr>
          <w:sz w:val="28"/>
          <w:szCs w:val="28"/>
        </w:rPr>
        <w:t>LATİ QURUCULUQ VƏ İNSTİTUSİONAL MÖHKƏMLƏNMƏ</w:t>
      </w:r>
    </w:p>
    <w:p w:rsidR="0000732F" w:rsidRPr="00E5767D" w:rsidRDefault="00BF50B2" w:rsidP="00EC2A11">
      <w:pPr>
        <w:pStyle w:val="1"/>
        <w:spacing w:after="0" w:line="360" w:lineRule="auto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Fəaliyyətin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ilkin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mərhələsində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institusional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bazası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formalaşdırılmışdır</w:t>
      </w:r>
      <w:proofErr w:type="spellEnd"/>
      <w:r w:rsidRPr="00E5767D">
        <w:rPr>
          <w:sz w:val="28"/>
          <w:szCs w:val="28"/>
        </w:rPr>
        <w:t xml:space="preserve">. </w:t>
      </w:r>
      <w:proofErr w:type="spellStart"/>
      <w:r w:rsidRPr="00E5767D">
        <w:rPr>
          <w:sz w:val="28"/>
          <w:szCs w:val="28"/>
        </w:rPr>
        <w:t>Bu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çərçivədə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00732F" w:rsidRPr="00E5767D" w:rsidSect="00EC2A11">
          <w:pgSz w:w="11909" w:h="16840"/>
          <w:pgMar w:top="1134" w:right="1134" w:bottom="1134" w:left="1418" w:header="0" w:footer="6" w:gutter="0"/>
          <w:cols w:space="720"/>
          <w:noEndnote/>
          <w:docGrid w:linePitch="360"/>
        </w:sectPr>
      </w:pPr>
    </w:p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Reqlamenti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Etik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Davranış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Qaydaları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Fəaliyyət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Planı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hazırlanaraq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qəbul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proofErr w:type="gramStart"/>
      <w:r w:rsidRPr="00E5767D">
        <w:rPr>
          <w:sz w:val="28"/>
          <w:szCs w:val="28"/>
        </w:rPr>
        <w:t>Fəaliyyət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Planı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hazırlanarkən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media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sosial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şəbəkələr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vasitəsilə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ictimaiyyətə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açıq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müraciət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vətəndaş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cəmiyyəti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institutları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nümayəndələrindən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daxil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təxminən</w:t>
      </w:r>
      <w:proofErr w:type="spellEnd"/>
      <w:r w:rsidRPr="00E5767D">
        <w:rPr>
          <w:sz w:val="28"/>
          <w:szCs w:val="28"/>
        </w:rPr>
        <w:t xml:space="preserve"> 50-dək </w:t>
      </w:r>
      <w:proofErr w:type="spellStart"/>
      <w:r w:rsidRPr="00E5767D">
        <w:rPr>
          <w:sz w:val="28"/>
          <w:szCs w:val="28"/>
        </w:rPr>
        <w:t>təklif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nəzərə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alınmışdır</w:t>
      </w:r>
      <w:proofErr w:type="spellEnd"/>
      <w:r w:rsidRPr="00E5767D">
        <w:rPr>
          <w:sz w:val="28"/>
          <w:szCs w:val="28"/>
        </w:rPr>
        <w:t>.</w:t>
      </w:r>
      <w:proofErr w:type="gramEnd"/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tərkibind</w:t>
      </w:r>
      <w:r w:rsidRPr="00E5767D">
        <w:rPr>
          <w:sz w:val="28"/>
          <w:szCs w:val="28"/>
        </w:rPr>
        <w:t>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aşağıdakı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istiqamətlər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üzrə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Monitorinq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Qrupları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yaradılmışdır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polis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orqanlarının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müvəqqəti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saxlama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yerləri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yol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hərəkətinin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təşkili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təhlükəsizliyi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ərizə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şikayətlərin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araşdırılması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rəyin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öyrənilməsi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1"/>
        </w:numPr>
        <w:tabs>
          <w:tab w:val="left" w:pos="853"/>
        </w:tabs>
        <w:spacing w:after="120" w:line="320" w:lineRule="exact"/>
        <w:rPr>
          <w:sz w:val="28"/>
          <w:szCs w:val="28"/>
        </w:rPr>
      </w:pPr>
      <w:r w:rsidRPr="00E5767D">
        <w:rPr>
          <w:sz w:val="28"/>
          <w:szCs w:val="28"/>
        </w:rPr>
        <w:t>İCTİMAİ ŞURANIN İCLASLARI VƏ QƏRAR QƏB</w:t>
      </w:r>
      <w:r w:rsidRPr="00E5767D">
        <w:rPr>
          <w:sz w:val="28"/>
          <w:szCs w:val="28"/>
        </w:rPr>
        <w:t>ULETMƏ FƏALİYYƏTİ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r w:rsidRPr="00E5767D">
        <w:rPr>
          <w:sz w:val="28"/>
          <w:szCs w:val="28"/>
        </w:rPr>
        <w:t xml:space="preserve">2024-2025-ci </w:t>
      </w:r>
      <w:proofErr w:type="spellStart"/>
      <w:r w:rsidRPr="00E5767D">
        <w:rPr>
          <w:sz w:val="28"/>
          <w:szCs w:val="28"/>
        </w:rPr>
        <w:t>illər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ərzində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tərəfindən</w:t>
      </w:r>
      <w:proofErr w:type="spellEnd"/>
      <w:r w:rsidRPr="00E5767D">
        <w:rPr>
          <w:sz w:val="28"/>
          <w:szCs w:val="28"/>
        </w:rPr>
        <w:t xml:space="preserve"> 7 </w:t>
      </w:r>
      <w:proofErr w:type="spellStart"/>
      <w:r w:rsidRPr="00E5767D">
        <w:rPr>
          <w:sz w:val="28"/>
          <w:szCs w:val="28"/>
        </w:rPr>
        <w:t>iclas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keçirilmişdir</w:t>
      </w:r>
      <w:proofErr w:type="spellEnd"/>
      <w:r w:rsidRPr="00E5767D">
        <w:rPr>
          <w:sz w:val="28"/>
          <w:szCs w:val="28"/>
        </w:rPr>
        <w:t xml:space="preserve">. </w:t>
      </w:r>
      <w:proofErr w:type="spellStart"/>
      <w:r w:rsidRPr="00E5767D">
        <w:rPr>
          <w:sz w:val="28"/>
          <w:szCs w:val="28"/>
        </w:rPr>
        <w:t>İclaslar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qərar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qəbuletmə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koordinasiya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mexanizmi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olmuşdur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İclaslarda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təşkilati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məsələlər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fəaliyyət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planlarının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müzakirəsi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qəbulu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monitorinq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qr</w:t>
      </w:r>
      <w:r w:rsidRPr="00E5767D">
        <w:rPr>
          <w:sz w:val="28"/>
          <w:szCs w:val="28"/>
        </w:rPr>
        <w:t>uplarının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daxil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olmuş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ərizə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şikayətlərin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icmalları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maarifləndirmə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dinləmələrlə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bağlı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qərarlar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kollegial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qaydada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müzakirə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1"/>
        </w:numPr>
        <w:tabs>
          <w:tab w:val="left" w:pos="766"/>
        </w:tabs>
        <w:spacing w:after="120" w:line="320" w:lineRule="exact"/>
        <w:rPr>
          <w:sz w:val="28"/>
          <w:szCs w:val="28"/>
        </w:rPr>
      </w:pPr>
      <w:r w:rsidRPr="00E5767D">
        <w:rPr>
          <w:sz w:val="28"/>
          <w:szCs w:val="28"/>
        </w:rPr>
        <w:t>ƏRİZƏ VƏ ŞİKAYƏTLƏRƏ BAXILMASI (</w:t>
      </w:r>
      <w:proofErr w:type="spellStart"/>
      <w:r w:rsidRPr="00E5767D">
        <w:rPr>
          <w:sz w:val="28"/>
          <w:szCs w:val="28"/>
        </w:rPr>
        <w:t>əsas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prioritet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istiqaməti</w:t>
      </w:r>
      <w:proofErr w:type="spellEnd"/>
      <w:r w:rsidRPr="00E5767D">
        <w:rPr>
          <w:sz w:val="28"/>
          <w:szCs w:val="28"/>
        </w:rPr>
        <w:t>)</w:t>
      </w:r>
    </w:p>
    <w:p w:rsidR="0000732F" w:rsidRPr="00E5767D" w:rsidRDefault="00BF50B2" w:rsidP="00237BFE">
      <w:pPr>
        <w:pStyle w:val="1"/>
        <w:numPr>
          <w:ilvl w:val="0"/>
          <w:numId w:val="2"/>
        </w:numPr>
        <w:tabs>
          <w:tab w:val="left" w:pos="694"/>
        </w:tabs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Statistik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göstəricilər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Hesabat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dövründə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ümumilikdə</w:t>
      </w:r>
      <w:proofErr w:type="spellEnd"/>
      <w:r w:rsidRPr="00E5767D">
        <w:rPr>
          <w:sz w:val="28"/>
          <w:szCs w:val="28"/>
        </w:rPr>
        <w:t xml:space="preserve"> 127 </w:t>
      </w:r>
      <w:proofErr w:type="spellStart"/>
      <w:r w:rsidRPr="00E5767D">
        <w:rPr>
          <w:sz w:val="28"/>
          <w:szCs w:val="28"/>
        </w:rPr>
        <w:t>ərizə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şikayət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daxil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olmuşdur</w:t>
      </w:r>
      <w:proofErr w:type="spellEnd"/>
      <w:r w:rsidRPr="00E5767D">
        <w:rPr>
          <w:sz w:val="28"/>
          <w:szCs w:val="28"/>
        </w:rPr>
        <w:t xml:space="preserve">. </w:t>
      </w:r>
      <w:proofErr w:type="spellStart"/>
      <w:r w:rsidRPr="00E5767D">
        <w:rPr>
          <w:sz w:val="28"/>
          <w:szCs w:val="28"/>
        </w:rPr>
        <w:t>Müraciətlər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şifahi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yazılı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elektron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şəxsi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qəbul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formalarında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qəbul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2"/>
        </w:numPr>
        <w:tabs>
          <w:tab w:val="left" w:pos="714"/>
        </w:tabs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Baxılma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mexanizmi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Müraciətlər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ilkin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təhlildən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sonra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aidiyyəti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üzrə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Daxili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Nazirliyinin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rəhbərliyinə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Nazirliyin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Mətbuat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Xidmətinə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Şəxsi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Heyətlə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İdarəsinə</w:t>
      </w:r>
      <w:proofErr w:type="spellEnd"/>
    </w:p>
    <w:p w:rsidR="0000732F" w:rsidRPr="00E5767D" w:rsidRDefault="0000732F" w:rsidP="00237BFE">
      <w:pPr>
        <w:spacing w:after="120" w:line="320" w:lineRule="exact"/>
        <w:rPr>
          <w:rFonts w:ascii="Times New Roman" w:hAnsi="Times New Roman" w:cs="Times New Roman"/>
          <w:sz w:val="28"/>
          <w:szCs w:val="28"/>
        </w:rPr>
        <w:sectPr w:rsidR="0000732F" w:rsidRPr="00E5767D" w:rsidSect="00EC2A11">
          <w:pgSz w:w="11909" w:h="16840"/>
          <w:pgMar w:top="1134" w:right="1134" w:bottom="1134" w:left="1418" w:header="0" w:footer="3" w:gutter="0"/>
          <w:cols w:space="720"/>
          <w:noEndnote/>
          <w:docGrid w:linePitch="360"/>
        </w:sectPr>
      </w:pPr>
    </w:p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yönləndirilmiş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operativ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reaksiya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verilmişdir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2"/>
        </w:numPr>
        <w:tabs>
          <w:tab w:val="left" w:pos="714"/>
        </w:tabs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Səlahiyyət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dairəsindən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kənar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müraciətlər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Şəhid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ailələri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qazilər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müharibə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iştirakçıları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bağlı</w:t>
      </w:r>
      <w:proofErr w:type="spellEnd"/>
      <w:r w:rsidRPr="00E5767D">
        <w:rPr>
          <w:sz w:val="28"/>
          <w:szCs w:val="28"/>
        </w:rPr>
        <w:t xml:space="preserve"> DİN-</w:t>
      </w:r>
      <w:proofErr w:type="spellStart"/>
      <w:r w:rsidRPr="00E5767D">
        <w:rPr>
          <w:sz w:val="28"/>
          <w:szCs w:val="28"/>
        </w:rPr>
        <w:t>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bi</w:t>
      </w:r>
      <w:r w:rsidRPr="00E5767D">
        <w:rPr>
          <w:sz w:val="28"/>
          <w:szCs w:val="28"/>
        </w:rPr>
        <w:t>rbaşa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səlahiyyətinə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aid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olmayan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müraciətlər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üzrə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vətəndaşlara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izahat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verilmiş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aidiyyəti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qurumlara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yönləndirmə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vasitəçilik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2"/>
        </w:numPr>
        <w:tabs>
          <w:tab w:val="left" w:pos="718"/>
        </w:tabs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Müraciətlərin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məzmunu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Müraciətlər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əsasən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xidmət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əmək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münasibətləri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sosial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məsələlər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polis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əməkdaşlarının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davranışı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hüquq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pozuntuları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məişət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mübahisələri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bağlı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olmuşdur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1"/>
        </w:numPr>
        <w:tabs>
          <w:tab w:val="left" w:pos="848"/>
        </w:tabs>
        <w:spacing w:after="120" w:line="320" w:lineRule="exact"/>
        <w:ind w:firstLine="357"/>
        <w:rPr>
          <w:sz w:val="28"/>
          <w:szCs w:val="28"/>
        </w:rPr>
      </w:pPr>
      <w:r w:rsidRPr="00E5767D">
        <w:rPr>
          <w:sz w:val="28"/>
          <w:szCs w:val="28"/>
        </w:rPr>
        <w:t>MAARİFLƏNDİRMƏ VƏ İCTİMAİ MAARİFÇİLİK FƏALİYYƏTİ</w:t>
      </w:r>
    </w:p>
    <w:p w:rsidR="0000732F" w:rsidRPr="00E5767D" w:rsidRDefault="00BF50B2" w:rsidP="00237BFE">
      <w:pPr>
        <w:pStyle w:val="1"/>
        <w:numPr>
          <w:ilvl w:val="0"/>
          <w:numId w:val="3"/>
        </w:numPr>
        <w:tabs>
          <w:tab w:val="left" w:pos="694"/>
        </w:tabs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Korrupsiyaya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qarşı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mübarizə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davranış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Korrupsiyaya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qarşı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mübarizə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etik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davranış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maraqların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toqquşması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möv</w:t>
      </w:r>
      <w:r w:rsidRPr="00E5767D">
        <w:rPr>
          <w:sz w:val="28"/>
          <w:szCs w:val="28"/>
        </w:rPr>
        <w:t>zularında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dövlət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orqanlarında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təhsil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müəssisələrində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təlim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seminarlar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keçirilmiş</w:t>
      </w:r>
      <w:proofErr w:type="spellEnd"/>
      <w:r w:rsidRPr="00E5767D">
        <w:rPr>
          <w:sz w:val="28"/>
          <w:szCs w:val="28"/>
        </w:rPr>
        <w:t xml:space="preserve">, 400-dən </w:t>
      </w:r>
      <w:proofErr w:type="spellStart"/>
      <w:r w:rsidRPr="00E5767D">
        <w:rPr>
          <w:sz w:val="28"/>
          <w:szCs w:val="28"/>
        </w:rPr>
        <w:t>artıq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iştirakçı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cəlb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olunmuşdur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3"/>
        </w:numPr>
        <w:tabs>
          <w:tab w:val="left" w:pos="718"/>
        </w:tabs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İnsan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alverinə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qarşı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mübarizə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sədri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Əliməmməd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Nuriyev</w:t>
      </w:r>
      <w:proofErr w:type="spellEnd"/>
      <w:r w:rsidRPr="00E5767D">
        <w:rPr>
          <w:sz w:val="28"/>
          <w:szCs w:val="28"/>
        </w:rPr>
        <w:t xml:space="preserve"> “XXI </w:t>
      </w:r>
      <w:proofErr w:type="spellStart"/>
      <w:r w:rsidRPr="00E5767D">
        <w:rPr>
          <w:sz w:val="28"/>
          <w:szCs w:val="28"/>
        </w:rPr>
        <w:t>Əsr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Azərbaycan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Qadınları</w:t>
      </w:r>
      <w:proofErr w:type="spellEnd"/>
      <w:r w:rsidRPr="00E5767D">
        <w:rPr>
          <w:sz w:val="28"/>
          <w:szCs w:val="28"/>
        </w:rPr>
        <w:t xml:space="preserve">”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Birliyinin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layihə</w:t>
      </w:r>
      <w:r w:rsidRPr="00E5767D">
        <w:rPr>
          <w:sz w:val="28"/>
          <w:szCs w:val="28"/>
        </w:rPr>
        <w:t>ləri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çərçivəsində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alveri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qurbanlarına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hüquqi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yardım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göstərilməsində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iştirak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3"/>
        </w:numPr>
        <w:tabs>
          <w:tab w:val="left" w:pos="714"/>
        </w:tabs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dinləmələr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müzakirələr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Kibertəhlükəsizlik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təhlükəsizlik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şəxsi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məlumatların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qorunması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mövzularında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dinləmələr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keçirilmişdir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3"/>
        </w:numPr>
        <w:tabs>
          <w:tab w:val="left" w:pos="718"/>
        </w:tabs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Media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Media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sosial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şəbəkələrdə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analitik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maarifləndirici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materiallar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yayımlanmışdır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3"/>
        </w:numPr>
        <w:tabs>
          <w:tab w:val="left" w:pos="714"/>
        </w:tabs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Şəhid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ailələri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görüşlər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rPr>
          <w:sz w:val="28"/>
          <w:szCs w:val="28"/>
        </w:rPr>
      </w:pPr>
      <w:r w:rsidRPr="00E5767D">
        <w:rPr>
          <w:sz w:val="28"/>
          <w:szCs w:val="28"/>
        </w:rPr>
        <w:t xml:space="preserve">2024-cü </w:t>
      </w:r>
      <w:proofErr w:type="spellStart"/>
      <w:r w:rsidRPr="00E5767D">
        <w:rPr>
          <w:sz w:val="28"/>
          <w:szCs w:val="28"/>
        </w:rPr>
        <w:t>ildə</w:t>
      </w:r>
      <w:proofErr w:type="spellEnd"/>
      <w:r w:rsidRPr="00E5767D">
        <w:rPr>
          <w:sz w:val="28"/>
          <w:szCs w:val="28"/>
        </w:rPr>
        <w:t xml:space="preserve"> DİN-</w:t>
      </w:r>
      <w:proofErr w:type="spellStart"/>
      <w:r w:rsidRPr="00E5767D">
        <w:rPr>
          <w:sz w:val="28"/>
          <w:szCs w:val="28"/>
        </w:rPr>
        <w:t>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şəhid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olmuş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əməkdaşlarının</w:t>
      </w:r>
      <w:proofErr w:type="spellEnd"/>
      <w:r w:rsidRPr="00E5767D">
        <w:rPr>
          <w:sz w:val="28"/>
          <w:szCs w:val="28"/>
        </w:rPr>
        <w:t xml:space="preserve"> 4 </w:t>
      </w:r>
      <w:proofErr w:type="spellStart"/>
      <w:r w:rsidRPr="00E5767D">
        <w:rPr>
          <w:sz w:val="28"/>
          <w:szCs w:val="28"/>
        </w:rPr>
        <w:t>ailəsi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görüşlər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keçirilmişdir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 w:rsidP="00237BFE">
      <w:pPr>
        <w:pStyle w:val="1"/>
        <w:numPr>
          <w:ilvl w:val="0"/>
          <w:numId w:val="4"/>
        </w:numPr>
        <w:tabs>
          <w:tab w:val="left" w:pos="1190"/>
        </w:tabs>
        <w:spacing w:after="120" w:line="320" w:lineRule="exact"/>
        <w:ind w:firstLine="357"/>
        <w:jc w:val="both"/>
        <w:rPr>
          <w:sz w:val="28"/>
          <w:szCs w:val="28"/>
        </w:rPr>
      </w:pPr>
      <w:r w:rsidRPr="00E5767D">
        <w:rPr>
          <w:sz w:val="28"/>
          <w:szCs w:val="28"/>
        </w:rPr>
        <w:t>ÖZÜNÜQİYMƏTLƏNDİRMƏ, MƏHDUDİYYƏTLƏR VƏ MÜSBƏT İNS</w:t>
      </w:r>
      <w:r w:rsidRPr="00E5767D">
        <w:rPr>
          <w:sz w:val="28"/>
          <w:szCs w:val="28"/>
        </w:rPr>
        <w:t>TİTUSİONAL TƏCRÜBƏ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hesab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hesabat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dövründə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öz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potensialını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tam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həcmdə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reallaşdıra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bilməmişdir</w:t>
      </w:r>
      <w:proofErr w:type="spellEnd"/>
      <w:r w:rsidRPr="00E5767D">
        <w:rPr>
          <w:sz w:val="28"/>
          <w:szCs w:val="28"/>
        </w:rPr>
        <w:t xml:space="preserve">. </w:t>
      </w:r>
      <w:proofErr w:type="spellStart"/>
      <w:r w:rsidRPr="00E5767D">
        <w:rPr>
          <w:sz w:val="28"/>
          <w:szCs w:val="28"/>
        </w:rPr>
        <w:t>Bunun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əsas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səbəbləri</w:t>
      </w:r>
      <w:proofErr w:type="spellEnd"/>
      <w:r w:rsidRPr="00E5767D">
        <w:rPr>
          <w:sz w:val="28"/>
          <w:szCs w:val="28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DİN-</w:t>
      </w:r>
      <w:proofErr w:type="spellStart"/>
      <w:r w:rsidRPr="00E5767D">
        <w:rPr>
          <w:sz w:val="28"/>
          <w:szCs w:val="28"/>
        </w:rPr>
        <w:t>in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bütün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strukturları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üzrə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tam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tanıdılmaması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BF50B2" w:rsidP="00237BFE">
      <w:pPr>
        <w:pStyle w:val="a5"/>
        <w:spacing w:after="120" w:line="320" w:lineRule="exact"/>
        <w:ind w:firstLine="357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xüsusilə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yerli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daxili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orqanlarında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məlumatlılı</w:t>
      </w:r>
      <w:r w:rsidRPr="00E5767D">
        <w:rPr>
          <w:sz w:val="28"/>
          <w:szCs w:val="28"/>
        </w:rPr>
        <w:t>ğın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yetərli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olmaması</w:t>
      </w:r>
      <w:proofErr w:type="spellEnd"/>
      <w:r w:rsidRPr="00E5767D">
        <w:rPr>
          <w:sz w:val="28"/>
          <w:szCs w:val="28"/>
        </w:rPr>
        <w:t>;</w:t>
      </w:r>
    </w:p>
    <w:p w:rsidR="0000732F" w:rsidRPr="00E5767D" w:rsidRDefault="0000732F" w:rsidP="00237BFE">
      <w:pPr>
        <w:spacing w:line="320" w:lineRule="exact"/>
        <w:rPr>
          <w:rFonts w:ascii="Times New Roman" w:hAnsi="Times New Roman" w:cs="Times New Roman"/>
          <w:sz w:val="28"/>
          <w:szCs w:val="28"/>
        </w:rPr>
        <w:sectPr w:rsidR="0000732F" w:rsidRPr="00E5767D" w:rsidSect="00EC2A11">
          <w:pgSz w:w="11909" w:h="16840"/>
          <w:pgMar w:top="1134" w:right="1134" w:bottom="1134" w:left="1418" w:header="0" w:footer="3" w:gutter="0"/>
          <w:cols w:space="720"/>
          <w:noEndnote/>
          <w:docGrid w:linePitch="360"/>
        </w:sectPr>
      </w:pPr>
    </w:p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əməkdaşlıq</w:t>
      </w:r>
      <w:proofErr w:type="spellEnd"/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mexanizmlərinin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hələ</w:t>
      </w:r>
      <w:proofErr w:type="spellEnd"/>
      <w:r w:rsidRPr="00E5767D">
        <w:rPr>
          <w:sz w:val="28"/>
          <w:szCs w:val="28"/>
          <w:lang w:val="en-US"/>
        </w:rPr>
        <w:t xml:space="preserve"> tam </w:t>
      </w:r>
      <w:proofErr w:type="spellStart"/>
      <w:r w:rsidRPr="00E5767D">
        <w:rPr>
          <w:sz w:val="28"/>
          <w:szCs w:val="28"/>
          <w:lang w:val="en-US"/>
        </w:rPr>
        <w:t>sistemli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institusional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formaya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düşməməsi</w:t>
      </w:r>
      <w:proofErr w:type="spellEnd"/>
      <w:r w:rsidRPr="00E5767D">
        <w:rPr>
          <w:sz w:val="28"/>
          <w:szCs w:val="28"/>
          <w:lang w:val="en-US"/>
        </w:rPr>
        <w:t>.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Bununla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yanaşı</w:t>
      </w:r>
      <w:proofErr w:type="spellEnd"/>
      <w:r w:rsidRPr="00E5767D">
        <w:rPr>
          <w:sz w:val="28"/>
          <w:szCs w:val="28"/>
          <w:lang w:val="en-US"/>
        </w:rPr>
        <w:t xml:space="preserve">, </w:t>
      </w:r>
      <w:proofErr w:type="spellStart"/>
      <w:r w:rsidRPr="00E5767D">
        <w:rPr>
          <w:sz w:val="28"/>
          <w:szCs w:val="28"/>
          <w:lang w:val="en-US"/>
        </w:rPr>
        <w:t>xüsusi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olaraq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qeyd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edilməlidir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ki</w:t>
      </w:r>
      <w:proofErr w:type="spellEnd"/>
      <w:r w:rsidRPr="00E5767D">
        <w:rPr>
          <w:sz w:val="28"/>
          <w:szCs w:val="28"/>
          <w:lang w:val="en-US"/>
        </w:rPr>
        <w:t xml:space="preserve">, </w:t>
      </w:r>
      <w:proofErr w:type="spellStart"/>
      <w:r w:rsidRPr="00E5767D">
        <w:rPr>
          <w:sz w:val="28"/>
          <w:szCs w:val="28"/>
          <w:lang w:val="en-US"/>
        </w:rPr>
        <w:t>Daxili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İşlər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Nazirliyinin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rəhbərliyi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tərəfindən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İctimai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Şuraya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verilən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diqqət</w:t>
      </w:r>
      <w:proofErr w:type="spellEnd"/>
      <w:r w:rsidRPr="00E5767D">
        <w:rPr>
          <w:sz w:val="28"/>
          <w:szCs w:val="28"/>
          <w:lang w:val="en-US"/>
        </w:rPr>
        <w:t xml:space="preserve">, </w:t>
      </w:r>
      <w:proofErr w:type="spellStart"/>
      <w:r w:rsidRPr="00E5767D">
        <w:rPr>
          <w:sz w:val="28"/>
          <w:szCs w:val="28"/>
          <w:lang w:val="en-US"/>
        </w:rPr>
        <w:t>dəstək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müsbət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münasibət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Şuranın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mühüm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rol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oynamışdır</w:t>
      </w:r>
      <w:proofErr w:type="spellEnd"/>
      <w:r w:rsidRPr="00E5767D">
        <w:rPr>
          <w:sz w:val="28"/>
          <w:szCs w:val="28"/>
          <w:lang w:val="en-US"/>
        </w:rPr>
        <w:t>.</w:t>
      </w:r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5767D">
        <w:rPr>
          <w:sz w:val="28"/>
          <w:szCs w:val="28"/>
          <w:lang w:val="en-US"/>
        </w:rPr>
        <w:t>Nazirlik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rəhbərliyi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səviyyəsində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İctimai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Şuranın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təşəbbüslərinə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açıq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təşviqedici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yanaşma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formalaşmışdır</w:t>
      </w:r>
      <w:proofErr w:type="spellEnd"/>
      <w:r w:rsidRPr="00E5767D">
        <w:rPr>
          <w:sz w:val="28"/>
          <w:szCs w:val="28"/>
          <w:lang w:val="en-US"/>
        </w:rPr>
        <w:t>.</w:t>
      </w:r>
      <w:proofErr w:type="gram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Eyni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zamanda</w:t>
      </w:r>
      <w:proofErr w:type="spellEnd"/>
      <w:r w:rsidRPr="00E5767D">
        <w:rPr>
          <w:sz w:val="28"/>
          <w:szCs w:val="28"/>
          <w:lang w:val="en-US"/>
        </w:rPr>
        <w:t xml:space="preserve">, </w:t>
      </w:r>
      <w:proofErr w:type="spellStart"/>
      <w:r w:rsidRPr="00E5767D">
        <w:rPr>
          <w:sz w:val="28"/>
          <w:szCs w:val="28"/>
          <w:lang w:val="en-US"/>
        </w:rPr>
        <w:t>hesabat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dövründə</w:t>
      </w:r>
      <w:proofErr w:type="spellEnd"/>
      <w:r w:rsidRPr="00E5767D">
        <w:rPr>
          <w:sz w:val="28"/>
          <w:szCs w:val="28"/>
          <w:lang w:val="en-US"/>
        </w:rPr>
        <w:t xml:space="preserve"> DİN </w:t>
      </w:r>
      <w:proofErr w:type="spellStart"/>
      <w:r w:rsidRPr="00E5767D">
        <w:rPr>
          <w:sz w:val="28"/>
          <w:szCs w:val="28"/>
          <w:lang w:val="en-US"/>
        </w:rPr>
        <w:t>ilə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İctimai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arasında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formalaşmış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çoxk</w:t>
      </w:r>
      <w:r w:rsidRPr="00E5767D">
        <w:rPr>
          <w:sz w:val="28"/>
          <w:szCs w:val="28"/>
          <w:lang w:val="en-US"/>
        </w:rPr>
        <w:t>anallı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əlaqə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mexanizmi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üçün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yeni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imkanlar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yaratmışdır</w:t>
      </w:r>
      <w:proofErr w:type="spellEnd"/>
      <w:r w:rsidRPr="00E5767D">
        <w:rPr>
          <w:sz w:val="28"/>
          <w:szCs w:val="28"/>
          <w:lang w:val="en-US"/>
        </w:rPr>
        <w:t>.</w:t>
      </w:r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Xüsusilə</w:t>
      </w:r>
      <w:proofErr w:type="spellEnd"/>
      <w:r w:rsidRPr="00E5767D">
        <w:rPr>
          <w:sz w:val="28"/>
          <w:szCs w:val="28"/>
          <w:lang w:val="en-US"/>
        </w:rPr>
        <w:t>: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r w:rsidRPr="00E5767D">
        <w:rPr>
          <w:sz w:val="28"/>
          <w:szCs w:val="28"/>
          <w:lang w:val="en-US"/>
        </w:rPr>
        <w:t>Nazirliyin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rəhbərliyi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səviyyəsində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birbaşa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kommunikasiya</w:t>
      </w:r>
      <w:proofErr w:type="spellEnd"/>
      <w:r w:rsidRPr="00E5767D">
        <w:rPr>
          <w:sz w:val="28"/>
          <w:szCs w:val="28"/>
          <w:lang w:val="en-US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baş</w:t>
      </w:r>
      <w:proofErr w:type="spellEnd"/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idarələr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struktur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bölmələri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səviyyəsində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operativ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əlaqə</w:t>
      </w:r>
      <w:proofErr w:type="spellEnd"/>
      <w:r w:rsidRPr="00E5767D">
        <w:rPr>
          <w:sz w:val="28"/>
          <w:szCs w:val="28"/>
          <w:lang w:val="en-US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icra</w:t>
      </w:r>
      <w:proofErr w:type="spellEnd"/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xidmət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strukturları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səviyyəsində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funksional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əməkdaş</w:t>
      </w:r>
      <w:r w:rsidRPr="00E5767D">
        <w:rPr>
          <w:sz w:val="28"/>
          <w:szCs w:val="28"/>
          <w:lang w:val="en-US"/>
        </w:rPr>
        <w:t>lıq</w:t>
      </w:r>
      <w:proofErr w:type="spell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E5767D">
        <w:rPr>
          <w:sz w:val="28"/>
          <w:szCs w:val="28"/>
          <w:lang w:val="en-US"/>
        </w:rPr>
        <w:t>üzrə</w:t>
      </w:r>
      <w:proofErr w:type="spellEnd"/>
      <w:proofErr w:type="gram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formalaşmış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üçpilləli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əlaqə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kanalları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Şuranın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müraciətlərə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baxılması</w:t>
      </w:r>
      <w:proofErr w:type="spellEnd"/>
      <w:r w:rsidRPr="00E5767D">
        <w:rPr>
          <w:sz w:val="28"/>
          <w:szCs w:val="28"/>
          <w:lang w:val="en-US"/>
        </w:rPr>
        <w:t xml:space="preserve">, </w:t>
      </w:r>
      <w:proofErr w:type="spellStart"/>
      <w:r w:rsidRPr="00E5767D">
        <w:rPr>
          <w:sz w:val="28"/>
          <w:szCs w:val="28"/>
          <w:lang w:val="en-US"/>
        </w:rPr>
        <w:t>monitorinq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nəzarət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çevikliyi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əhəmiyyətli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dərəcədə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artırmışdır</w:t>
      </w:r>
      <w:proofErr w:type="spellEnd"/>
      <w:r w:rsidRPr="00E5767D">
        <w:rPr>
          <w:sz w:val="28"/>
          <w:szCs w:val="28"/>
          <w:lang w:val="en-US"/>
        </w:rPr>
        <w:t>.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gramStart"/>
      <w:r w:rsidRPr="00E5767D">
        <w:rPr>
          <w:sz w:val="28"/>
          <w:szCs w:val="28"/>
          <w:lang w:val="en-US"/>
        </w:rPr>
        <w:t xml:space="preserve">Bu </w:t>
      </w:r>
      <w:proofErr w:type="spellStart"/>
      <w:r w:rsidRPr="00E5767D">
        <w:rPr>
          <w:sz w:val="28"/>
          <w:szCs w:val="28"/>
          <w:lang w:val="en-US"/>
        </w:rPr>
        <w:t>əlaqə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kanalları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hələ</w:t>
      </w:r>
      <w:proofErr w:type="spellEnd"/>
      <w:r w:rsidRPr="00E5767D">
        <w:rPr>
          <w:sz w:val="28"/>
          <w:szCs w:val="28"/>
          <w:lang w:val="en-US"/>
        </w:rPr>
        <w:t xml:space="preserve"> tam </w:t>
      </w:r>
      <w:proofErr w:type="spellStart"/>
      <w:r w:rsidRPr="00E5767D">
        <w:rPr>
          <w:sz w:val="28"/>
          <w:szCs w:val="28"/>
          <w:lang w:val="en-US"/>
        </w:rPr>
        <w:t>institusionallaşma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mərhələsində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olsa</w:t>
      </w:r>
      <w:proofErr w:type="spellEnd"/>
      <w:r w:rsidRPr="00E5767D">
        <w:rPr>
          <w:sz w:val="28"/>
          <w:szCs w:val="28"/>
          <w:lang w:val="en-US"/>
        </w:rPr>
        <w:t xml:space="preserve"> da, </w:t>
      </w:r>
      <w:proofErr w:type="spellStart"/>
      <w:r w:rsidRPr="00E5767D">
        <w:rPr>
          <w:sz w:val="28"/>
          <w:szCs w:val="28"/>
          <w:lang w:val="en-US"/>
        </w:rPr>
        <w:t>onların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mövcudluğu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</w:t>
      </w:r>
      <w:r w:rsidRPr="00E5767D">
        <w:rPr>
          <w:sz w:val="28"/>
          <w:szCs w:val="28"/>
          <w:lang w:val="en-US"/>
        </w:rPr>
        <w:t>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işləkliyi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İctimai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Şuranın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gələcək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fəaliyyətinin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genişləndirilməsi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üçün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möhkəm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və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perspektivli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baza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kimi</w:t>
      </w:r>
      <w:proofErr w:type="spellEnd"/>
      <w:r w:rsidRPr="00E5767D">
        <w:rPr>
          <w:sz w:val="28"/>
          <w:szCs w:val="28"/>
          <w:lang w:val="en-US"/>
        </w:rPr>
        <w:t xml:space="preserve"> </w:t>
      </w:r>
      <w:proofErr w:type="spellStart"/>
      <w:r w:rsidRPr="00E5767D">
        <w:rPr>
          <w:sz w:val="28"/>
          <w:szCs w:val="28"/>
          <w:lang w:val="en-US"/>
        </w:rPr>
        <w:t>qiymətləndirilir</w:t>
      </w:r>
      <w:proofErr w:type="spellEnd"/>
      <w:r w:rsidRPr="00E5767D">
        <w:rPr>
          <w:sz w:val="28"/>
          <w:szCs w:val="28"/>
          <w:lang w:val="en-US"/>
        </w:rPr>
        <w:t>.</w:t>
      </w:r>
      <w:proofErr w:type="gramEnd"/>
    </w:p>
    <w:p w:rsidR="0000732F" w:rsidRPr="00237BFE" w:rsidRDefault="00237BFE" w:rsidP="00237BFE">
      <w:pPr>
        <w:pStyle w:val="1"/>
        <w:tabs>
          <w:tab w:val="left" w:pos="1550"/>
        </w:tabs>
        <w:spacing w:after="120" w:line="320" w:lineRule="exact"/>
        <w:ind w:left="357" w:firstLine="0"/>
        <w:rPr>
          <w:sz w:val="28"/>
          <w:szCs w:val="28"/>
          <w:lang w:val="en-US"/>
        </w:rPr>
      </w:pPr>
      <w:r>
        <w:rPr>
          <w:sz w:val="28"/>
          <w:szCs w:val="28"/>
          <w:lang w:val="az-Latn-AZ"/>
        </w:rPr>
        <w:t xml:space="preserve">VIII. </w:t>
      </w:r>
      <w:r w:rsidR="00BF50B2" w:rsidRPr="00237BFE">
        <w:rPr>
          <w:sz w:val="28"/>
          <w:szCs w:val="28"/>
          <w:lang w:val="en-US"/>
        </w:rPr>
        <w:t>GƏLƏCƏK FƏALİYYƏT İSTİQAMƏTLƏRİ</w:t>
      </w:r>
    </w:p>
    <w:p w:rsidR="0000732F" w:rsidRPr="00237BFE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r w:rsidRPr="00237BFE">
        <w:rPr>
          <w:sz w:val="28"/>
          <w:szCs w:val="28"/>
          <w:lang w:val="en-US"/>
        </w:rPr>
        <w:t>İctimai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Şura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qarşıdakı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dövrdə</w:t>
      </w:r>
      <w:proofErr w:type="spellEnd"/>
      <w:r w:rsidRPr="00237BFE">
        <w:rPr>
          <w:sz w:val="28"/>
          <w:szCs w:val="28"/>
          <w:lang w:val="en-US"/>
        </w:rPr>
        <w:t>:</w:t>
      </w:r>
    </w:p>
    <w:p w:rsidR="0000732F" w:rsidRPr="00237BFE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237BFE">
        <w:rPr>
          <w:sz w:val="28"/>
          <w:szCs w:val="28"/>
          <w:lang w:val="en-US"/>
        </w:rPr>
        <w:t>maarifçilik</w:t>
      </w:r>
      <w:proofErr w:type="spellEnd"/>
      <w:proofErr w:type="gram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və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məlumatlandırmanı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genişləndirməyi</w:t>
      </w:r>
      <w:proofErr w:type="spellEnd"/>
      <w:r w:rsidRPr="00237BFE">
        <w:rPr>
          <w:sz w:val="28"/>
          <w:szCs w:val="28"/>
          <w:lang w:val="en-US"/>
        </w:rPr>
        <w:t>;</w:t>
      </w:r>
    </w:p>
    <w:p w:rsidR="0000732F" w:rsidRPr="00237BFE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237BFE">
        <w:rPr>
          <w:sz w:val="28"/>
          <w:szCs w:val="28"/>
          <w:lang w:val="en-US"/>
        </w:rPr>
        <w:t>müraciətlərin</w:t>
      </w:r>
      <w:proofErr w:type="spellEnd"/>
      <w:proofErr w:type="gram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siste</w:t>
      </w:r>
      <w:r w:rsidRPr="00237BFE">
        <w:rPr>
          <w:sz w:val="28"/>
          <w:szCs w:val="28"/>
          <w:lang w:val="en-US"/>
        </w:rPr>
        <w:t>mli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təhlilini</w:t>
      </w:r>
      <w:proofErr w:type="spellEnd"/>
      <w:r w:rsidRPr="00237BFE">
        <w:rPr>
          <w:sz w:val="28"/>
          <w:szCs w:val="28"/>
          <w:lang w:val="en-US"/>
        </w:rPr>
        <w:t>;</w:t>
      </w:r>
    </w:p>
    <w:p w:rsidR="0000732F" w:rsidRPr="00237BFE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  <w:lang w:val="en-US"/>
        </w:rPr>
      </w:pPr>
      <w:proofErr w:type="spellStart"/>
      <w:proofErr w:type="gramStart"/>
      <w:r w:rsidRPr="00237BFE">
        <w:rPr>
          <w:sz w:val="28"/>
          <w:szCs w:val="28"/>
          <w:lang w:val="en-US"/>
        </w:rPr>
        <w:t>ictimai</w:t>
      </w:r>
      <w:proofErr w:type="spellEnd"/>
      <w:proofErr w:type="gram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dinləmələrin</w:t>
      </w:r>
      <w:proofErr w:type="spellEnd"/>
      <w:r w:rsidRPr="00237BFE">
        <w:rPr>
          <w:sz w:val="28"/>
          <w:szCs w:val="28"/>
          <w:lang w:val="en-US"/>
        </w:rPr>
        <w:t xml:space="preserve"> </w:t>
      </w:r>
      <w:proofErr w:type="spellStart"/>
      <w:r w:rsidRPr="00237BFE">
        <w:rPr>
          <w:sz w:val="28"/>
          <w:szCs w:val="28"/>
          <w:lang w:val="en-US"/>
        </w:rPr>
        <w:t>artırılmasını</w:t>
      </w:r>
      <w:proofErr w:type="spellEnd"/>
      <w:r w:rsidRPr="00237BFE">
        <w:rPr>
          <w:sz w:val="28"/>
          <w:szCs w:val="28"/>
          <w:lang w:val="en-US"/>
        </w:rPr>
        <w:t>;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narkomaniya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insan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alveri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uşaq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hüquqları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təhlükəsizlik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sahələrində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fəallığın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gücləndirilməsini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prioritet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hesab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edir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237BFE" w:rsidP="00237BFE">
      <w:pPr>
        <w:pStyle w:val="1"/>
        <w:tabs>
          <w:tab w:val="left" w:pos="1550"/>
        </w:tabs>
        <w:spacing w:after="120" w:line="320" w:lineRule="exact"/>
        <w:ind w:left="357" w:firstLine="0"/>
        <w:rPr>
          <w:sz w:val="28"/>
          <w:szCs w:val="28"/>
        </w:rPr>
      </w:pPr>
      <w:r>
        <w:rPr>
          <w:sz w:val="28"/>
          <w:szCs w:val="28"/>
          <w:lang w:val="az-Latn-AZ"/>
        </w:rPr>
        <w:t xml:space="preserve">IX. </w:t>
      </w:r>
      <w:bookmarkStart w:id="0" w:name="_GoBack"/>
      <w:bookmarkEnd w:id="0"/>
      <w:r w:rsidR="00BF50B2" w:rsidRPr="00E5767D">
        <w:rPr>
          <w:sz w:val="28"/>
          <w:szCs w:val="28"/>
        </w:rPr>
        <w:t>YEKUN</w:t>
      </w:r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proofErr w:type="gramStart"/>
      <w:r w:rsidRPr="00E5767D">
        <w:rPr>
          <w:sz w:val="28"/>
          <w:szCs w:val="28"/>
        </w:rPr>
        <w:t>Bu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Hesabat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göstərir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ki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Daxili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Nazirliyi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yanında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r w:rsidRPr="00E5767D">
        <w:rPr>
          <w:sz w:val="28"/>
          <w:szCs w:val="28"/>
        </w:rPr>
        <w:t xml:space="preserve">2024-2025-ci </w:t>
      </w:r>
      <w:proofErr w:type="spellStart"/>
      <w:r w:rsidRPr="00E5767D">
        <w:rPr>
          <w:sz w:val="28"/>
          <w:szCs w:val="28"/>
        </w:rPr>
        <w:t>illərdə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işlək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etibarlı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etimad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qazanan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institut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kimi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göstərmiş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eyni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zamanda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öz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inkişaf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perspektivlərini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açıq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məsuliyyətli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şəkildə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müəyyən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etmişdir</w:t>
      </w:r>
      <w:proofErr w:type="spellEnd"/>
      <w:r w:rsidRPr="00E5767D">
        <w:rPr>
          <w:sz w:val="28"/>
          <w:szCs w:val="28"/>
        </w:rPr>
        <w:t>.</w:t>
      </w:r>
      <w:proofErr w:type="gramEnd"/>
    </w:p>
    <w:p w:rsidR="0000732F" w:rsidRPr="00E5767D" w:rsidRDefault="00BF50B2" w:rsidP="00237BFE">
      <w:pPr>
        <w:pStyle w:val="1"/>
        <w:spacing w:after="120" w:line="320" w:lineRule="exact"/>
        <w:ind w:firstLine="357"/>
        <w:jc w:val="both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gələcək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fəaliyyətini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daha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təşəbbüskar</w:t>
      </w:r>
      <w:proofErr w:type="spellEnd"/>
      <w:r w:rsidRPr="00E5767D">
        <w:rPr>
          <w:sz w:val="28"/>
          <w:szCs w:val="28"/>
        </w:rPr>
        <w:t xml:space="preserve">, </w:t>
      </w:r>
      <w:proofErr w:type="spellStart"/>
      <w:r w:rsidRPr="00E5767D">
        <w:rPr>
          <w:sz w:val="28"/>
          <w:szCs w:val="28"/>
        </w:rPr>
        <w:t>daha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sistemli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v</w:t>
      </w:r>
      <w:r w:rsidRPr="00E5767D">
        <w:rPr>
          <w:sz w:val="28"/>
          <w:szCs w:val="28"/>
        </w:rPr>
        <w:t>ətəndaşa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daha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yaxın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model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üzərində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qurmağı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qarşıya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məqsəd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qoyur</w:t>
      </w:r>
      <w:proofErr w:type="spellEnd"/>
      <w:r w:rsidRPr="00E5767D">
        <w:rPr>
          <w:sz w:val="28"/>
          <w:szCs w:val="28"/>
        </w:rPr>
        <w:t>.</w:t>
      </w:r>
    </w:p>
    <w:p w:rsidR="0000732F" w:rsidRPr="00E5767D" w:rsidRDefault="00BF50B2">
      <w:pPr>
        <w:pStyle w:val="1"/>
        <w:framePr w:wrap="none" w:vAnchor="page" w:hAnchor="page" w:x="1671" w:y="13333"/>
        <w:spacing w:after="0" w:line="240" w:lineRule="auto"/>
        <w:jc w:val="both"/>
        <w:rPr>
          <w:sz w:val="28"/>
          <w:szCs w:val="28"/>
        </w:rPr>
      </w:pPr>
      <w:proofErr w:type="spellStart"/>
      <w:r w:rsidRPr="00E5767D">
        <w:rPr>
          <w:b/>
          <w:bCs/>
          <w:sz w:val="28"/>
          <w:szCs w:val="28"/>
        </w:rPr>
        <w:t>Hörmətlə</w:t>
      </w:r>
      <w:proofErr w:type="spellEnd"/>
      <w:r w:rsidRPr="00E5767D">
        <w:rPr>
          <w:b/>
          <w:bCs/>
          <w:sz w:val="28"/>
          <w:szCs w:val="28"/>
        </w:rPr>
        <w:t>,</w:t>
      </w:r>
    </w:p>
    <w:p w:rsidR="0000732F" w:rsidRPr="00E5767D" w:rsidRDefault="00BF50B2">
      <w:pPr>
        <w:framePr w:wrap="none" w:vAnchor="page" w:hAnchor="page" w:x="2179" w:y="13712"/>
        <w:rPr>
          <w:rFonts w:ascii="Times New Roman" w:hAnsi="Times New Roman" w:cs="Times New Roman"/>
          <w:sz w:val="28"/>
          <w:szCs w:val="28"/>
        </w:rPr>
      </w:pPr>
      <w:r w:rsidRPr="00E576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35B58E" wp14:editId="2F82C79A">
            <wp:extent cx="1231265" cy="6769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3126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32F" w:rsidRPr="00E5767D" w:rsidRDefault="00BF50B2">
      <w:pPr>
        <w:pStyle w:val="1"/>
        <w:framePr w:wrap="none" w:vAnchor="page" w:hAnchor="page" w:x="1671" w:y="14888"/>
        <w:spacing w:after="0" w:line="240" w:lineRule="auto"/>
        <w:rPr>
          <w:sz w:val="28"/>
          <w:szCs w:val="28"/>
        </w:rPr>
      </w:pPr>
      <w:proofErr w:type="spellStart"/>
      <w:r w:rsidRPr="00E5767D">
        <w:rPr>
          <w:b/>
          <w:bCs/>
          <w:sz w:val="28"/>
          <w:szCs w:val="28"/>
        </w:rPr>
        <w:t>Əliməmməd</w:t>
      </w:r>
      <w:proofErr w:type="spellEnd"/>
      <w:r w:rsidRPr="00E5767D">
        <w:rPr>
          <w:b/>
          <w:bCs/>
          <w:sz w:val="28"/>
          <w:szCs w:val="28"/>
        </w:rPr>
        <w:t xml:space="preserve"> </w:t>
      </w:r>
      <w:proofErr w:type="spellStart"/>
      <w:r w:rsidRPr="00E5767D">
        <w:rPr>
          <w:b/>
          <w:bCs/>
          <w:sz w:val="28"/>
          <w:szCs w:val="28"/>
        </w:rPr>
        <w:t>Nuriyev</w:t>
      </w:r>
      <w:proofErr w:type="spellEnd"/>
    </w:p>
    <w:p w:rsidR="0000732F" w:rsidRPr="00E5767D" w:rsidRDefault="00BF50B2">
      <w:pPr>
        <w:pStyle w:val="a5"/>
        <w:framePr w:wrap="none" w:vAnchor="page" w:hAnchor="page" w:x="2016" w:y="15406"/>
        <w:spacing w:line="240" w:lineRule="auto"/>
        <w:ind w:firstLine="0"/>
        <w:rPr>
          <w:sz w:val="28"/>
          <w:szCs w:val="28"/>
        </w:rPr>
      </w:pPr>
      <w:proofErr w:type="spellStart"/>
      <w:r w:rsidRPr="00E5767D">
        <w:rPr>
          <w:sz w:val="28"/>
          <w:szCs w:val="28"/>
        </w:rPr>
        <w:t>Daxili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İşlər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Nazirliyi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yanında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İctimai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Şuranın</w:t>
      </w:r>
      <w:proofErr w:type="spellEnd"/>
      <w:r w:rsidRPr="00E5767D">
        <w:rPr>
          <w:sz w:val="28"/>
          <w:szCs w:val="28"/>
        </w:rPr>
        <w:t xml:space="preserve"> </w:t>
      </w:r>
      <w:proofErr w:type="spellStart"/>
      <w:r w:rsidRPr="00E5767D">
        <w:rPr>
          <w:sz w:val="28"/>
          <w:szCs w:val="28"/>
        </w:rPr>
        <w:t>sədri</w:t>
      </w:r>
      <w:proofErr w:type="spellEnd"/>
    </w:p>
    <w:p w:rsidR="0000732F" w:rsidRPr="00E5767D" w:rsidRDefault="0000732F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sectPr w:rsidR="0000732F" w:rsidRPr="00E5767D" w:rsidSect="00EC2A11">
      <w:pgSz w:w="11909" w:h="16840"/>
      <w:pgMar w:top="1134" w:right="1134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0B2" w:rsidRDefault="00BF50B2">
      <w:r>
        <w:separator/>
      </w:r>
    </w:p>
  </w:endnote>
  <w:endnote w:type="continuationSeparator" w:id="0">
    <w:p w:rsidR="00BF50B2" w:rsidRDefault="00BF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0B2" w:rsidRDefault="00BF50B2"/>
  </w:footnote>
  <w:footnote w:type="continuationSeparator" w:id="0">
    <w:p w:rsidR="00BF50B2" w:rsidRDefault="00BF50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BEF"/>
    <w:multiLevelType w:val="multilevel"/>
    <w:tmpl w:val="D892F8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856025"/>
    <w:multiLevelType w:val="multilevel"/>
    <w:tmpl w:val="E9BECBD0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F5D1E"/>
    <w:multiLevelType w:val="multilevel"/>
    <w:tmpl w:val="EEBAE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35287D"/>
    <w:multiLevelType w:val="multilevel"/>
    <w:tmpl w:val="A0B006A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0732F"/>
    <w:rsid w:val="0000732F"/>
    <w:rsid w:val="00237BFE"/>
    <w:rsid w:val="00B13C66"/>
    <w:rsid w:val="00BF50B2"/>
    <w:rsid w:val="00E5767D"/>
    <w:rsid w:val="00E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0B8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/>
    </w:pPr>
    <w:rPr>
      <w:rFonts w:ascii="Times New Roman" w:eastAsia="Times New Roman" w:hAnsi="Times New Roman" w:cs="Times New Roman"/>
      <w:b/>
      <w:bCs/>
      <w:color w:val="2E70B8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pPr>
      <w:spacing w:after="500"/>
      <w:ind w:left="34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pacing w:line="257" w:lineRule="auto"/>
      <w:ind w:firstLine="18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76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6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70B8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 w:line="276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240"/>
    </w:pPr>
    <w:rPr>
      <w:rFonts w:ascii="Times New Roman" w:eastAsia="Times New Roman" w:hAnsi="Times New Roman" w:cs="Times New Roman"/>
      <w:b/>
      <w:bCs/>
      <w:color w:val="2E70B8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pPr>
      <w:spacing w:after="500"/>
      <w:ind w:left="34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pacing w:line="257" w:lineRule="auto"/>
      <w:ind w:firstLine="18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76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6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 Elsevər Həsənov</cp:lastModifiedBy>
  <cp:revision>2</cp:revision>
  <cp:lastPrinted>2026-01-19T10:44:00Z</cp:lastPrinted>
  <dcterms:created xsi:type="dcterms:W3CDTF">2026-01-19T07:21:00Z</dcterms:created>
  <dcterms:modified xsi:type="dcterms:W3CDTF">2026-01-19T11:00:00Z</dcterms:modified>
</cp:coreProperties>
</file>